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Preston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Preston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Preston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Preston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Preston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Preston are estimated to have a score of 1-2 on the PGSI (low-risk gambling), whilst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Preston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Preston is estimated to be </w:t>
      </w:r>
      <w:r w:rsidRPr="00773DF7">
        <w:rPr>
          <w:rFonts w:ascii="Libre Franklin Light" w:eastAsia="Times New Roman" w:hAnsi="Libre Franklin Light" w:cs="Calibri Light"/>
          <w:b/>
          <w:bCs/>
          <w:color w:val="C45911" w:themeColor="accent2" w:themeShade="BF"/>
        </w:rPr>
        <w:t xml:space="preserve">£3,663,315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Preston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Preston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Preston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Preston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res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Preston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res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Preston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Preston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res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Preston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12.0%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Preston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Preston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Preston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Preston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Preston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£3,663,315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Preston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£59,669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£1,233,997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£88,399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£24,862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£45,581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£2,210,807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£3,663,315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Preston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Preston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26.8%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Preston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Preston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Preston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Preston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Preston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26.8%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Preston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Preston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27.4%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Preston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Preston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Preston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80D9D17-A714-43B7-8A27-5EA6AB42DA2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